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7B6F" w14:textId="77777777" w:rsidR="001868F0" w:rsidRPr="004C28DD" w:rsidRDefault="001868F0" w:rsidP="001868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</w:pPr>
      <w:r w:rsidRPr="004C28DD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>LONDONDERRY TOWNSHIP</w:t>
      </w:r>
    </w:p>
    <w:p w14:paraId="61C832CE" w14:textId="77777777" w:rsidR="001868F0" w:rsidRPr="004C28DD" w:rsidRDefault="001868F0" w:rsidP="001868F0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Theme="majorEastAsia" w:hAnsi="Aptos" w:cs="Calibri Light"/>
          <w:b/>
          <w:bCs/>
          <w:color w:val="000000"/>
        </w:rPr>
      </w:pPr>
      <w:r w:rsidRPr="004C28DD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>Comprehensive Plan Update</w:t>
      </w:r>
      <w:r w:rsidRPr="004C28DD">
        <w:rPr>
          <w:rStyle w:val="normaltextrun"/>
          <w:rFonts w:ascii="Aptos" w:eastAsiaTheme="majorEastAsia" w:hAnsi="Aptos" w:cs="Calibri Light"/>
          <w:b/>
          <w:bCs/>
          <w:color w:val="000000"/>
        </w:rPr>
        <w:t>: Key Topic #2 Meeting</w:t>
      </w:r>
    </w:p>
    <w:p w14:paraId="5851EEBD" w14:textId="77777777" w:rsidR="001868F0" w:rsidRPr="004C28DD" w:rsidRDefault="001868F0" w:rsidP="001868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 w:themeColor="text1"/>
          <w:sz w:val="22"/>
          <w:szCs w:val="22"/>
        </w:rPr>
      </w:pPr>
      <w:r w:rsidRPr="004C28DD">
        <w:rPr>
          <w:rStyle w:val="normaltextrun"/>
          <w:rFonts w:ascii="Aptos" w:eastAsiaTheme="majorEastAsia" w:hAnsi="Aptos" w:cs="Calibri Light"/>
          <w:b/>
          <w:bCs/>
          <w:color w:val="000000" w:themeColor="text1"/>
          <w:sz w:val="22"/>
          <w:szCs w:val="22"/>
        </w:rPr>
        <w:t>Tuesday, June 16</w:t>
      </w:r>
      <w:r w:rsidRPr="004C28DD">
        <w:rPr>
          <w:rStyle w:val="normaltextrun"/>
          <w:rFonts w:ascii="Aptos" w:eastAsiaTheme="majorEastAsia" w:hAnsi="Aptos" w:cs="Calibri Light"/>
          <w:b/>
          <w:bCs/>
          <w:color w:val="000000" w:themeColor="text1"/>
          <w:sz w:val="22"/>
          <w:szCs w:val="22"/>
          <w:vertAlign w:val="superscript"/>
        </w:rPr>
        <w:t>th</w:t>
      </w:r>
      <w:r w:rsidRPr="004C28DD">
        <w:rPr>
          <w:rStyle w:val="normaltextrun"/>
          <w:rFonts w:ascii="Aptos" w:eastAsiaTheme="majorEastAsia" w:hAnsi="Aptos" w:cs="Calibri Light"/>
          <w:b/>
          <w:bCs/>
          <w:color w:val="000000" w:themeColor="text1"/>
          <w:sz w:val="22"/>
          <w:szCs w:val="22"/>
        </w:rPr>
        <w:t>, at 7:00PM</w:t>
      </w:r>
    </w:p>
    <w:p w14:paraId="5A40A3B2" w14:textId="77777777" w:rsidR="001868F0" w:rsidRPr="004C28DD" w:rsidRDefault="001868F0" w:rsidP="001868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sz w:val="22"/>
          <w:szCs w:val="22"/>
        </w:rPr>
      </w:pPr>
    </w:p>
    <w:p w14:paraId="7CD4D819" w14:textId="20C1B77C" w:rsidR="001868F0" w:rsidRDefault="001868F0" w:rsidP="001868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u w:val="single"/>
        </w:rPr>
      </w:pPr>
      <w:r w:rsidRPr="004C28DD">
        <w:rPr>
          <w:rStyle w:val="normaltextrun"/>
          <w:rFonts w:ascii="Aptos" w:eastAsiaTheme="majorEastAsia" w:hAnsi="Aptos" w:cs="Calibri Light"/>
          <w:b/>
          <w:bCs/>
          <w:u w:val="single"/>
        </w:rPr>
        <w:t>NOTES</w:t>
      </w:r>
    </w:p>
    <w:p w14:paraId="0F3E7792" w14:textId="77777777" w:rsidR="008B7722" w:rsidRPr="004C28DD" w:rsidRDefault="008B7722" w:rsidP="001868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u w:val="single"/>
        </w:rPr>
      </w:pPr>
    </w:p>
    <w:p w14:paraId="6738478B" w14:textId="7C0A4712" w:rsidR="000C6795" w:rsidRPr="000C6795" w:rsidRDefault="00545E42" w:rsidP="00545E42">
      <w:pPr>
        <w:rPr>
          <w:b/>
          <w:bCs/>
          <w:sz w:val="20"/>
          <w:szCs w:val="20"/>
        </w:rPr>
      </w:pPr>
      <w:r w:rsidRPr="004C28DD">
        <w:rPr>
          <w:b/>
          <w:bCs/>
          <w:sz w:val="20"/>
          <w:szCs w:val="20"/>
        </w:rPr>
        <w:t>1. Demographics Review</w:t>
      </w:r>
    </w:p>
    <w:p w14:paraId="6DC3FCA5" w14:textId="0B5F6F2A" w:rsidR="004C28DD" w:rsidRDefault="004C28DD" w:rsidP="00545E42">
      <w:pPr>
        <w:rPr>
          <w:sz w:val="20"/>
          <w:szCs w:val="20"/>
        </w:rPr>
      </w:pPr>
      <w:r>
        <w:rPr>
          <w:sz w:val="20"/>
          <w:szCs w:val="20"/>
        </w:rPr>
        <w:t xml:space="preserve">Quinty Birl presented on the demographics analysis report. </w:t>
      </w:r>
    </w:p>
    <w:p w14:paraId="63344119" w14:textId="179ED6A0" w:rsidR="004C28DD" w:rsidRPr="004C28DD" w:rsidRDefault="004C28DD" w:rsidP="004C28D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4C28DD">
        <w:rPr>
          <w:sz w:val="20"/>
          <w:szCs w:val="20"/>
        </w:rPr>
        <w:t>TF feedback:</w:t>
      </w:r>
      <w:r>
        <w:rPr>
          <w:sz w:val="20"/>
          <w:szCs w:val="20"/>
        </w:rPr>
        <w:t xml:space="preserve"> Consider </w:t>
      </w:r>
      <w:r w:rsidR="00053927">
        <w:rPr>
          <w:sz w:val="20"/>
          <w:szCs w:val="20"/>
        </w:rPr>
        <w:t xml:space="preserve">altering color palette for greater </w:t>
      </w:r>
      <w:r w:rsidR="008B7722">
        <w:rPr>
          <w:sz w:val="20"/>
          <w:szCs w:val="20"/>
        </w:rPr>
        <w:t>distinction</w:t>
      </w:r>
      <w:r w:rsidR="00053927">
        <w:rPr>
          <w:sz w:val="20"/>
          <w:szCs w:val="20"/>
        </w:rPr>
        <w:t xml:space="preserve"> </w:t>
      </w:r>
      <w:r w:rsidR="008B7722">
        <w:rPr>
          <w:sz w:val="20"/>
          <w:szCs w:val="20"/>
        </w:rPr>
        <w:t xml:space="preserve">on charts and tables. </w:t>
      </w:r>
    </w:p>
    <w:p w14:paraId="65960E34" w14:textId="7B9E3F52" w:rsidR="00545E42" w:rsidRPr="004C28DD" w:rsidRDefault="00545E42" w:rsidP="00545E42">
      <w:pPr>
        <w:rPr>
          <w:sz w:val="20"/>
          <w:szCs w:val="20"/>
        </w:rPr>
      </w:pPr>
      <w:r w:rsidRPr="004C28DD">
        <w:rPr>
          <w:b/>
          <w:bCs/>
          <w:sz w:val="20"/>
          <w:szCs w:val="20"/>
        </w:rPr>
        <w:t>2. Community Visioning Session Initial Review</w:t>
      </w:r>
    </w:p>
    <w:p w14:paraId="60E8ABC3" w14:textId="5D2C3EF3" w:rsidR="001868F0" w:rsidRPr="004C28DD" w:rsidRDefault="001868F0" w:rsidP="001868F0">
      <w:pPr>
        <w:rPr>
          <w:sz w:val="20"/>
          <w:szCs w:val="20"/>
        </w:rPr>
      </w:pPr>
      <w:r w:rsidRPr="004C28DD">
        <w:rPr>
          <w:sz w:val="20"/>
          <w:szCs w:val="20"/>
        </w:rPr>
        <w:t>Liv Falcone discussed the turnout and response rate of the Community Visioning Session (held on May 20</w:t>
      </w:r>
      <w:r w:rsidRPr="004C28DD">
        <w:rPr>
          <w:sz w:val="20"/>
          <w:szCs w:val="20"/>
          <w:vertAlign w:val="superscript"/>
        </w:rPr>
        <w:t>th</w:t>
      </w:r>
      <w:r w:rsidRPr="004C28DD">
        <w:rPr>
          <w:sz w:val="20"/>
          <w:szCs w:val="20"/>
        </w:rPr>
        <w:t xml:space="preserve">) and Community Values Survey. </w:t>
      </w:r>
    </w:p>
    <w:p w14:paraId="120D6735" w14:textId="3AE6DE97" w:rsidR="00545E42" w:rsidRPr="004C28DD" w:rsidRDefault="000F0C99" w:rsidP="00545E4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C28DD">
        <w:rPr>
          <w:sz w:val="20"/>
          <w:szCs w:val="20"/>
        </w:rPr>
        <w:t>TF</w:t>
      </w:r>
      <w:r w:rsidR="00491608" w:rsidRPr="004C28DD">
        <w:rPr>
          <w:sz w:val="20"/>
          <w:szCs w:val="20"/>
        </w:rPr>
        <w:t xml:space="preserve"> feedback</w:t>
      </w:r>
      <w:r w:rsidR="00273E37" w:rsidRPr="004C28DD">
        <w:rPr>
          <w:sz w:val="20"/>
          <w:szCs w:val="20"/>
        </w:rPr>
        <w:t xml:space="preserve">: Continue </w:t>
      </w:r>
      <w:r w:rsidR="00491608" w:rsidRPr="004C28DD">
        <w:rPr>
          <w:sz w:val="20"/>
          <w:szCs w:val="20"/>
        </w:rPr>
        <w:t xml:space="preserve">to </w:t>
      </w:r>
      <w:r w:rsidR="00273E37" w:rsidRPr="004C28DD">
        <w:rPr>
          <w:sz w:val="20"/>
          <w:szCs w:val="20"/>
        </w:rPr>
        <w:t>p</w:t>
      </w:r>
      <w:r w:rsidR="00545E42" w:rsidRPr="004C28DD">
        <w:rPr>
          <w:sz w:val="20"/>
          <w:szCs w:val="20"/>
        </w:rPr>
        <w:t>ush outreach efforts through HOA</w:t>
      </w:r>
      <w:r w:rsidR="00273E37" w:rsidRPr="004C28DD">
        <w:rPr>
          <w:sz w:val="20"/>
          <w:szCs w:val="20"/>
        </w:rPr>
        <w:t xml:space="preserve"> </w:t>
      </w:r>
      <w:r w:rsidR="00545E42" w:rsidRPr="004C28DD">
        <w:rPr>
          <w:sz w:val="20"/>
          <w:szCs w:val="20"/>
        </w:rPr>
        <w:t>news</w:t>
      </w:r>
      <w:r w:rsidR="00273E37" w:rsidRPr="004C28DD">
        <w:rPr>
          <w:sz w:val="20"/>
          <w:szCs w:val="20"/>
        </w:rPr>
        <w:t>letters and</w:t>
      </w:r>
      <w:r w:rsidR="00545E42" w:rsidRPr="004C28DD">
        <w:rPr>
          <w:sz w:val="20"/>
          <w:szCs w:val="20"/>
        </w:rPr>
        <w:t xml:space="preserve"> social media</w:t>
      </w:r>
    </w:p>
    <w:p w14:paraId="273D19B3" w14:textId="6DAC6D01" w:rsidR="00545E42" w:rsidRPr="004C28DD" w:rsidRDefault="00491608" w:rsidP="00545E4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C28DD">
        <w:rPr>
          <w:sz w:val="20"/>
          <w:szCs w:val="20"/>
        </w:rPr>
        <w:t>TF</w:t>
      </w:r>
      <w:r w:rsidR="008B7722">
        <w:rPr>
          <w:sz w:val="20"/>
          <w:szCs w:val="20"/>
        </w:rPr>
        <w:t xml:space="preserve"> feedback</w:t>
      </w:r>
      <w:r w:rsidRPr="004C28DD">
        <w:rPr>
          <w:sz w:val="20"/>
          <w:szCs w:val="20"/>
        </w:rPr>
        <w:t xml:space="preserve">: </w:t>
      </w:r>
      <w:r w:rsidR="00667460" w:rsidRPr="004C28DD">
        <w:rPr>
          <w:sz w:val="20"/>
          <w:szCs w:val="20"/>
        </w:rPr>
        <w:t xml:space="preserve">Consider hosting </w:t>
      </w:r>
      <w:r w:rsidRPr="004C28DD">
        <w:rPr>
          <w:sz w:val="20"/>
          <w:szCs w:val="20"/>
        </w:rPr>
        <w:t xml:space="preserve">the public meeting </w:t>
      </w:r>
      <w:r w:rsidR="00172611" w:rsidRPr="004C28DD">
        <w:rPr>
          <w:sz w:val="20"/>
          <w:szCs w:val="20"/>
        </w:rPr>
        <w:t xml:space="preserve">to present the drafted vision and goals at the Township Building Opening </w:t>
      </w:r>
      <w:r w:rsidR="00885359" w:rsidRPr="004C28DD">
        <w:rPr>
          <w:sz w:val="20"/>
          <w:szCs w:val="20"/>
        </w:rPr>
        <w:t>House</w:t>
      </w:r>
      <w:r w:rsidR="00172611" w:rsidRPr="004C28DD">
        <w:rPr>
          <w:sz w:val="20"/>
          <w:szCs w:val="20"/>
        </w:rPr>
        <w:t xml:space="preserve"> (October/November)</w:t>
      </w:r>
    </w:p>
    <w:p w14:paraId="5FDE8518" w14:textId="6C72C092" w:rsidR="00667460" w:rsidRPr="004C28DD" w:rsidRDefault="00667460" w:rsidP="00667460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C28DD">
        <w:rPr>
          <w:sz w:val="20"/>
          <w:szCs w:val="20"/>
        </w:rPr>
        <w:t>This would provide an opportunity for the public to review and comment on draft recommendations.</w:t>
      </w:r>
    </w:p>
    <w:p w14:paraId="6936354D" w14:textId="77777777" w:rsidR="00545E42" w:rsidRPr="004C28DD" w:rsidRDefault="00545E42" w:rsidP="00545E42">
      <w:pPr>
        <w:rPr>
          <w:sz w:val="20"/>
          <w:szCs w:val="20"/>
        </w:rPr>
      </w:pPr>
      <w:r w:rsidRPr="004C28DD">
        <w:rPr>
          <w:b/>
          <w:bCs/>
          <w:sz w:val="20"/>
          <w:szCs w:val="20"/>
        </w:rPr>
        <w:t>3. Key Issue #2: Expanding Heritage Preservation and Interpretation Opportunities</w:t>
      </w:r>
    </w:p>
    <w:p w14:paraId="5460C792" w14:textId="382BEC15" w:rsidR="00885359" w:rsidRPr="004C28DD" w:rsidRDefault="00885359" w:rsidP="00885359">
      <w:pPr>
        <w:rPr>
          <w:sz w:val="20"/>
          <w:szCs w:val="20"/>
        </w:rPr>
      </w:pPr>
      <w:r w:rsidRPr="004C28DD">
        <w:rPr>
          <w:sz w:val="20"/>
          <w:szCs w:val="20"/>
        </w:rPr>
        <w:t xml:space="preserve">Liv Falcone presented the draft goals related to historic and scenic resource protection and education. </w:t>
      </w:r>
    </w:p>
    <w:p w14:paraId="748DC633" w14:textId="5981710B" w:rsidR="00B86E7C" w:rsidRPr="004C28DD" w:rsidRDefault="00B86E7C" w:rsidP="00545E4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C28DD">
        <w:rPr>
          <w:sz w:val="20"/>
          <w:szCs w:val="20"/>
        </w:rPr>
        <w:t xml:space="preserve">TF feedback: </w:t>
      </w:r>
      <w:r w:rsidR="00E90C97" w:rsidRPr="004C28DD">
        <w:rPr>
          <w:sz w:val="20"/>
          <w:szCs w:val="20"/>
        </w:rPr>
        <w:t>T</w:t>
      </w:r>
      <w:r w:rsidRPr="004C28DD">
        <w:rPr>
          <w:sz w:val="20"/>
          <w:szCs w:val="20"/>
        </w:rPr>
        <w:t xml:space="preserve">he historic resource protection goals should focus on </w:t>
      </w:r>
      <w:r w:rsidR="008E2D73" w:rsidRPr="004C28DD">
        <w:rPr>
          <w:sz w:val="20"/>
          <w:szCs w:val="20"/>
        </w:rPr>
        <w:t>emphasis should be placed on documenting, promoting, and increasing public awareness of historic resources and local history</w:t>
      </w:r>
      <w:r w:rsidR="00E90C97" w:rsidRPr="004C28DD">
        <w:rPr>
          <w:sz w:val="20"/>
          <w:szCs w:val="20"/>
        </w:rPr>
        <w:t>, not on regulations for stronger enforcement of historic structures</w:t>
      </w:r>
    </w:p>
    <w:p w14:paraId="4560D04D" w14:textId="575F515C" w:rsidR="00EB2885" w:rsidRPr="004C28DD" w:rsidRDefault="00E90C97" w:rsidP="00247BC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C28DD">
        <w:rPr>
          <w:sz w:val="20"/>
          <w:szCs w:val="20"/>
        </w:rPr>
        <w:t>TF feedback: Discussion</w:t>
      </w:r>
      <w:r w:rsidR="00247BC5" w:rsidRPr="004C28DD">
        <w:rPr>
          <w:sz w:val="20"/>
          <w:szCs w:val="20"/>
        </w:rPr>
        <w:t xml:space="preserve"> regarding the significance of 1982 historic resource survey</w:t>
      </w:r>
    </w:p>
    <w:p w14:paraId="5BED7376" w14:textId="39411B8A" w:rsidR="00247BC5" w:rsidRPr="004C28DD" w:rsidRDefault="007B7421" w:rsidP="00247BC5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4C28DD">
        <w:rPr>
          <w:sz w:val="20"/>
          <w:szCs w:val="20"/>
        </w:rPr>
        <w:t xml:space="preserve">Properties identified in the 1982 survey </w:t>
      </w:r>
      <w:r w:rsidR="005B305E" w:rsidRPr="004C28DD">
        <w:rPr>
          <w:sz w:val="20"/>
          <w:szCs w:val="20"/>
        </w:rPr>
        <w:t>were generally at least 50 years old at that time and considered historically significant.</w:t>
      </w:r>
    </w:p>
    <w:p w14:paraId="18245AE7" w14:textId="6D121A73" w:rsidR="005B305E" w:rsidRPr="004C28DD" w:rsidRDefault="00C176F7" w:rsidP="00247BC5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4C28DD">
        <w:rPr>
          <w:sz w:val="20"/>
          <w:szCs w:val="20"/>
        </w:rPr>
        <w:t>Additional properties may now qualify for historic designation due to age and significance.</w:t>
      </w:r>
    </w:p>
    <w:p w14:paraId="497D1C12" w14:textId="2F20A0CC" w:rsidR="00CD38B7" w:rsidRPr="004C28DD" w:rsidRDefault="008E2D73" w:rsidP="00CD38B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C28DD">
        <w:rPr>
          <w:sz w:val="20"/>
          <w:szCs w:val="20"/>
        </w:rPr>
        <w:t xml:space="preserve">TF feedback: </w:t>
      </w:r>
      <w:r w:rsidR="002B5928" w:rsidRPr="004C28DD">
        <w:rPr>
          <w:sz w:val="20"/>
          <w:szCs w:val="20"/>
        </w:rPr>
        <w:t xml:space="preserve">Consider installation of blue historic signs throughout the </w:t>
      </w:r>
      <w:r w:rsidR="00BB42C8" w:rsidRPr="004C28DD">
        <w:rPr>
          <w:sz w:val="20"/>
          <w:szCs w:val="20"/>
        </w:rPr>
        <w:t>Township?</w:t>
      </w:r>
    </w:p>
    <w:p w14:paraId="33015AA2" w14:textId="1C1E0129" w:rsidR="00CD38B7" w:rsidRPr="004C28DD" w:rsidRDefault="00BB42C8" w:rsidP="00CD38B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C28DD">
        <w:rPr>
          <w:sz w:val="20"/>
          <w:szCs w:val="20"/>
        </w:rPr>
        <w:t xml:space="preserve">CCPC feedback: Consider </w:t>
      </w:r>
      <w:r w:rsidR="00CD38B7" w:rsidRPr="004C28DD">
        <w:rPr>
          <w:rFonts w:eastAsia="Times New Roman" w:cs="Times New Roman"/>
          <w:kern w:val="0"/>
          <w:sz w:val="20"/>
          <w:szCs w:val="20"/>
          <w14:ligatures w14:val="none"/>
        </w:rPr>
        <w:t>exploring adaptive reuse strategies for historic structures</w:t>
      </w:r>
    </w:p>
    <w:p w14:paraId="09344C8D" w14:textId="13283B77" w:rsidR="00CD38B7" w:rsidRPr="004C28DD" w:rsidRDefault="00BB42C8" w:rsidP="00CD38B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4C28DD">
        <w:rPr>
          <w:rFonts w:eastAsia="Times New Roman" w:cs="Times New Roman"/>
          <w:kern w:val="0"/>
          <w:sz w:val="20"/>
          <w:szCs w:val="20"/>
          <w14:ligatures w14:val="none"/>
        </w:rPr>
        <w:t>TF</w:t>
      </w:r>
      <w:r w:rsidR="00CD38B7" w:rsidRPr="004C28DD">
        <w:rPr>
          <w:rFonts w:eastAsia="Times New Roman" w:cs="Times New Roman"/>
          <w:kern w:val="0"/>
          <w:sz w:val="20"/>
          <w:szCs w:val="20"/>
          <w14:ligatures w14:val="none"/>
        </w:rPr>
        <w:t xml:space="preserve"> noted that prior Comprehensive Plan recommendations may have unintentionally encouraged the loss of older </w:t>
      </w:r>
      <w:r w:rsidR="00BB023C" w:rsidRPr="004C28DD">
        <w:rPr>
          <w:rFonts w:eastAsia="Times New Roman" w:cs="Times New Roman"/>
          <w:kern w:val="0"/>
          <w:sz w:val="20"/>
          <w:szCs w:val="20"/>
          <w14:ligatures w14:val="none"/>
        </w:rPr>
        <w:t>farm</w:t>
      </w:r>
      <w:r w:rsidR="00CD38B7" w:rsidRPr="004C28DD">
        <w:rPr>
          <w:rFonts w:eastAsia="Times New Roman" w:cs="Times New Roman"/>
          <w:kern w:val="0"/>
          <w:sz w:val="20"/>
          <w:szCs w:val="20"/>
          <w14:ligatures w14:val="none"/>
        </w:rPr>
        <w:t xml:space="preserve"> buildings</w:t>
      </w:r>
      <w:r w:rsidR="00516798" w:rsidRPr="004C28DD">
        <w:rPr>
          <w:rFonts w:eastAsia="Times New Roman" w:cs="Times New Roman"/>
          <w:kern w:val="0"/>
          <w:sz w:val="20"/>
          <w:szCs w:val="20"/>
          <w14:ligatures w14:val="none"/>
        </w:rPr>
        <w:t>.</w:t>
      </w:r>
    </w:p>
    <w:p w14:paraId="571DD395" w14:textId="138A64CD" w:rsidR="00CD38B7" w:rsidRPr="004C28DD" w:rsidRDefault="007324D2" w:rsidP="00CD38B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4C28DD">
        <w:rPr>
          <w:rFonts w:eastAsia="Times New Roman" w:cs="Times New Roman"/>
          <w:kern w:val="0"/>
          <w:sz w:val="20"/>
          <w:szCs w:val="20"/>
          <w14:ligatures w14:val="none"/>
        </w:rPr>
        <w:t>TF noted that f</w:t>
      </w:r>
      <w:r w:rsidR="00CD38B7" w:rsidRPr="004C28DD">
        <w:rPr>
          <w:rFonts w:eastAsia="Times New Roman" w:cs="Times New Roman"/>
          <w:kern w:val="0"/>
          <w:sz w:val="20"/>
          <w:szCs w:val="20"/>
          <w14:ligatures w14:val="none"/>
        </w:rPr>
        <w:t>uture recommendations should balance preservation goals with practical considerations for property owners.</w:t>
      </w:r>
    </w:p>
    <w:p w14:paraId="1289D8BD" w14:textId="0B008DF0" w:rsidR="00B83E7B" w:rsidRPr="004C28DD" w:rsidRDefault="007F627D" w:rsidP="00B83E7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C28DD">
        <w:rPr>
          <w:sz w:val="20"/>
          <w:szCs w:val="20"/>
        </w:rPr>
        <w:t>TF feedback: I</w:t>
      </w:r>
      <w:r w:rsidR="00E44B99" w:rsidRPr="004C28DD">
        <w:rPr>
          <w:sz w:val="20"/>
          <w:szCs w:val="20"/>
        </w:rPr>
        <w:t xml:space="preserve">dentifying future trail connections on the </w:t>
      </w:r>
      <w:r w:rsidRPr="004C28DD">
        <w:rPr>
          <w:sz w:val="20"/>
          <w:szCs w:val="20"/>
        </w:rPr>
        <w:t>Official Map</w:t>
      </w:r>
      <w:r w:rsidR="00E44B99" w:rsidRPr="004C28DD">
        <w:rPr>
          <w:sz w:val="20"/>
          <w:szCs w:val="20"/>
        </w:rPr>
        <w:t xml:space="preserve"> could support future grant applications and funding opportunities.</w:t>
      </w:r>
    </w:p>
    <w:p w14:paraId="2B4B38C1" w14:textId="0EAAE019" w:rsidR="00967335" w:rsidRPr="008B7722" w:rsidRDefault="007F627D" w:rsidP="0090274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C28DD">
        <w:rPr>
          <w:rFonts w:eastAsia="Times New Roman" w:cs="Times New Roman"/>
          <w:kern w:val="0"/>
          <w:sz w:val="20"/>
          <w:szCs w:val="20"/>
          <w14:ligatures w14:val="none"/>
        </w:rPr>
        <w:t xml:space="preserve">TF feedback: </w:t>
      </w:r>
      <w:r w:rsidR="00DB2584" w:rsidRPr="004C28DD">
        <w:rPr>
          <w:rFonts w:eastAsia="Times New Roman" w:cs="Times New Roman"/>
          <w:kern w:val="0"/>
          <w:sz w:val="20"/>
          <w:szCs w:val="20"/>
          <w14:ligatures w14:val="none"/>
        </w:rPr>
        <w:t>Township should consider adding a definition for “trail” in zoning and SALDO</w:t>
      </w:r>
      <w:r w:rsidR="0013237A" w:rsidRPr="004C28DD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90274B" w:rsidRPr="004C28DD">
        <w:rPr>
          <w:rFonts w:eastAsia="Times New Roman" w:cs="Times New Roman"/>
          <w:kern w:val="0"/>
          <w:sz w:val="20"/>
          <w:szCs w:val="20"/>
          <w14:ligatures w14:val="none"/>
        </w:rPr>
        <w:t>and different types of trails</w:t>
      </w:r>
      <w:r w:rsidR="00F753BF" w:rsidRPr="004C28DD">
        <w:rPr>
          <w:rFonts w:eastAsia="Times New Roman" w:cs="Times New Roman"/>
          <w:kern w:val="0"/>
          <w:sz w:val="20"/>
          <w:szCs w:val="20"/>
          <w14:ligatures w14:val="none"/>
        </w:rPr>
        <w:t>.</w:t>
      </w:r>
    </w:p>
    <w:p w14:paraId="784C8F96" w14:textId="77777777" w:rsidR="008B7722" w:rsidRPr="004C28DD" w:rsidRDefault="008B7722" w:rsidP="008B7722">
      <w:pPr>
        <w:pStyle w:val="ListParagraph"/>
        <w:rPr>
          <w:sz w:val="20"/>
          <w:szCs w:val="20"/>
        </w:rPr>
      </w:pPr>
    </w:p>
    <w:p w14:paraId="2D3DBE09" w14:textId="49987895" w:rsidR="004C28DD" w:rsidRPr="004C28DD" w:rsidRDefault="004C28DD" w:rsidP="004C28DD">
      <w:pPr>
        <w:rPr>
          <w:sz w:val="20"/>
          <w:szCs w:val="20"/>
        </w:rPr>
      </w:pPr>
      <w:r w:rsidRPr="004C28DD">
        <w:rPr>
          <w:b/>
          <w:bCs/>
          <w:sz w:val="20"/>
          <w:szCs w:val="20"/>
        </w:rPr>
        <w:t>Next meeting on August 18</w:t>
      </w:r>
      <w:r w:rsidRPr="004C28DD">
        <w:rPr>
          <w:b/>
          <w:bCs/>
          <w:sz w:val="20"/>
          <w:szCs w:val="20"/>
          <w:vertAlign w:val="superscript"/>
        </w:rPr>
        <w:t>th</w:t>
      </w:r>
      <w:r w:rsidRPr="004C28DD">
        <w:rPr>
          <w:b/>
          <w:bCs/>
          <w:sz w:val="20"/>
          <w:szCs w:val="20"/>
        </w:rPr>
        <w:t>: </w:t>
      </w:r>
      <w:r w:rsidRPr="004C28DD">
        <w:rPr>
          <w:sz w:val="20"/>
          <w:szCs w:val="20"/>
        </w:rPr>
        <w:t>Key Issue #3: Guiding Growth: Balancing Buildout While Protecting Open Space Goals and Recommendations. </w:t>
      </w:r>
    </w:p>
    <w:sectPr w:rsidR="004C28DD" w:rsidRPr="004C28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F37B" w14:textId="77777777" w:rsidR="00A52567" w:rsidRDefault="00A52567" w:rsidP="00615D04">
      <w:pPr>
        <w:spacing w:after="0" w:line="240" w:lineRule="auto"/>
      </w:pPr>
      <w:r>
        <w:separator/>
      </w:r>
    </w:p>
  </w:endnote>
  <w:endnote w:type="continuationSeparator" w:id="0">
    <w:p w14:paraId="1C81B602" w14:textId="77777777" w:rsidR="00A52567" w:rsidRDefault="00A52567" w:rsidP="0061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6FFA" w14:textId="7AC42821" w:rsidR="00615D04" w:rsidRDefault="00615D04">
    <w:pPr>
      <w:pStyle w:val="Footer"/>
    </w:pPr>
    <w:r w:rsidRPr="000A3043">
      <w:rPr>
        <w:noProof/>
      </w:rPr>
      <w:drawing>
        <wp:anchor distT="0" distB="0" distL="114300" distR="114300" simplePos="0" relativeHeight="251659264" behindDoc="0" locked="0" layoutInCell="1" allowOverlap="1" wp14:anchorId="78CC711D" wp14:editId="52448069">
          <wp:simplePos x="0" y="0"/>
          <wp:positionH relativeFrom="margin">
            <wp:align>right</wp:align>
          </wp:positionH>
          <wp:positionV relativeFrom="paragraph">
            <wp:posOffset>-67183</wp:posOffset>
          </wp:positionV>
          <wp:extent cx="1597660" cy="412750"/>
          <wp:effectExtent l="0" t="0" r="2540" b="6350"/>
          <wp:wrapThrough wrapText="bothSides">
            <wp:wrapPolygon edited="0">
              <wp:start x="2060" y="0"/>
              <wp:lineTo x="258" y="3988"/>
              <wp:lineTo x="0" y="11963"/>
              <wp:lineTo x="773" y="16948"/>
              <wp:lineTo x="2318" y="20935"/>
              <wp:lineTo x="3348" y="20935"/>
              <wp:lineTo x="3606" y="19938"/>
              <wp:lineTo x="21377" y="13957"/>
              <wp:lineTo x="21377" y="6978"/>
              <wp:lineTo x="3606" y="0"/>
              <wp:lineTo x="2060" y="0"/>
            </wp:wrapPolygon>
          </wp:wrapThrough>
          <wp:docPr id="1026" name="Picture 2" descr="Londonderry Township">
            <a:extLst xmlns:a="http://schemas.openxmlformats.org/drawingml/2006/main">
              <a:ext uri="{FF2B5EF4-FFF2-40B4-BE49-F238E27FC236}">
                <a16:creationId xmlns:a16="http://schemas.microsoft.com/office/drawing/2014/main" id="{C3CD59A4-824D-478C-AC90-598E1CE7C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Londonderry Township">
                    <a:extLst>
                      <a:ext uri="{FF2B5EF4-FFF2-40B4-BE49-F238E27FC236}">
                        <a16:creationId xmlns:a16="http://schemas.microsoft.com/office/drawing/2014/main" id="{BC655CE5-F9E6-0D7F-CE01-649001483B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B51">
      <w:rPr>
        <w:rFonts w:ascii="Aptos" w:hAnsi="Aptos"/>
        <w:noProof/>
      </w:rPr>
      <w:drawing>
        <wp:anchor distT="0" distB="0" distL="114300" distR="114300" simplePos="0" relativeHeight="251660288" behindDoc="0" locked="0" layoutInCell="1" allowOverlap="1" wp14:anchorId="1B9188BC" wp14:editId="66F0DB40">
          <wp:simplePos x="0" y="0"/>
          <wp:positionH relativeFrom="margin">
            <wp:align>left</wp:align>
          </wp:positionH>
          <wp:positionV relativeFrom="paragraph">
            <wp:posOffset>-131369</wp:posOffset>
          </wp:positionV>
          <wp:extent cx="1143000" cy="431800"/>
          <wp:effectExtent l="0" t="0" r="0" b="6350"/>
          <wp:wrapThrough wrapText="bothSides">
            <wp:wrapPolygon edited="0">
              <wp:start x="0" y="0"/>
              <wp:lineTo x="0" y="20965"/>
              <wp:lineTo x="21240" y="20965"/>
              <wp:lineTo x="21240" y="0"/>
              <wp:lineTo x="0" y="0"/>
            </wp:wrapPolygon>
          </wp:wrapThrough>
          <wp:docPr id="63954029" name="Picture 3" descr="A logo with text on i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B8DE0FB-1C4D-4A19-A614-8966B20501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57176" name="Picture 3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FB3F" w14:textId="77777777" w:rsidR="00A52567" w:rsidRDefault="00A52567" w:rsidP="00615D04">
      <w:pPr>
        <w:spacing w:after="0" w:line="240" w:lineRule="auto"/>
      </w:pPr>
      <w:r>
        <w:separator/>
      </w:r>
    </w:p>
  </w:footnote>
  <w:footnote w:type="continuationSeparator" w:id="0">
    <w:p w14:paraId="2A07E03D" w14:textId="77777777" w:rsidR="00A52567" w:rsidRDefault="00A52567" w:rsidP="00615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1AE"/>
    <w:multiLevelType w:val="multilevel"/>
    <w:tmpl w:val="2C4C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3545A"/>
    <w:multiLevelType w:val="hybridMultilevel"/>
    <w:tmpl w:val="60E2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90758"/>
    <w:multiLevelType w:val="multilevel"/>
    <w:tmpl w:val="B6B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2009A"/>
    <w:multiLevelType w:val="hybridMultilevel"/>
    <w:tmpl w:val="641AD6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317617"/>
    <w:multiLevelType w:val="hybridMultilevel"/>
    <w:tmpl w:val="4AD43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D13B7"/>
    <w:multiLevelType w:val="multilevel"/>
    <w:tmpl w:val="0D4C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22F9E"/>
    <w:multiLevelType w:val="multilevel"/>
    <w:tmpl w:val="18C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9342B"/>
    <w:multiLevelType w:val="hybridMultilevel"/>
    <w:tmpl w:val="09A2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F38C4"/>
    <w:multiLevelType w:val="multilevel"/>
    <w:tmpl w:val="D78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795713"/>
    <w:multiLevelType w:val="hybridMultilevel"/>
    <w:tmpl w:val="F9B0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C760F"/>
    <w:multiLevelType w:val="hybridMultilevel"/>
    <w:tmpl w:val="53EA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65D64"/>
    <w:multiLevelType w:val="multilevel"/>
    <w:tmpl w:val="067A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7612523">
    <w:abstractNumId w:val="8"/>
  </w:num>
  <w:num w:numId="2" w16cid:durableId="173032268">
    <w:abstractNumId w:val="0"/>
  </w:num>
  <w:num w:numId="3" w16cid:durableId="452134015">
    <w:abstractNumId w:val="11"/>
  </w:num>
  <w:num w:numId="4" w16cid:durableId="275916004">
    <w:abstractNumId w:val="9"/>
  </w:num>
  <w:num w:numId="5" w16cid:durableId="426776422">
    <w:abstractNumId w:val="10"/>
  </w:num>
  <w:num w:numId="6" w16cid:durableId="1306467098">
    <w:abstractNumId w:val="2"/>
  </w:num>
  <w:num w:numId="7" w16cid:durableId="283269183">
    <w:abstractNumId w:val="6"/>
  </w:num>
  <w:num w:numId="8" w16cid:durableId="2139759540">
    <w:abstractNumId w:val="5"/>
  </w:num>
  <w:num w:numId="9" w16cid:durableId="1355113636">
    <w:abstractNumId w:val="3"/>
  </w:num>
  <w:num w:numId="10" w16cid:durableId="685719030">
    <w:abstractNumId w:val="4"/>
  </w:num>
  <w:num w:numId="11" w16cid:durableId="1109465967">
    <w:abstractNumId w:val="1"/>
  </w:num>
  <w:num w:numId="12" w16cid:durableId="1735161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42"/>
    <w:rsid w:val="00053927"/>
    <w:rsid w:val="00095A29"/>
    <w:rsid w:val="000C6795"/>
    <w:rsid w:val="000F0C99"/>
    <w:rsid w:val="0013237A"/>
    <w:rsid w:val="00172611"/>
    <w:rsid w:val="001868F0"/>
    <w:rsid w:val="001A2FEA"/>
    <w:rsid w:val="00247BC5"/>
    <w:rsid w:val="00273E37"/>
    <w:rsid w:val="002B5928"/>
    <w:rsid w:val="002D5ED8"/>
    <w:rsid w:val="002E0166"/>
    <w:rsid w:val="003E4958"/>
    <w:rsid w:val="00457963"/>
    <w:rsid w:val="00491608"/>
    <w:rsid w:val="004A6CFA"/>
    <w:rsid w:val="004C28DD"/>
    <w:rsid w:val="004D1E09"/>
    <w:rsid w:val="005123FC"/>
    <w:rsid w:val="00516798"/>
    <w:rsid w:val="00545E42"/>
    <w:rsid w:val="005912EE"/>
    <w:rsid w:val="005A3816"/>
    <w:rsid w:val="005B305E"/>
    <w:rsid w:val="00615D04"/>
    <w:rsid w:val="006228B3"/>
    <w:rsid w:val="00667460"/>
    <w:rsid w:val="007324D2"/>
    <w:rsid w:val="00757B53"/>
    <w:rsid w:val="00767E9F"/>
    <w:rsid w:val="007B7421"/>
    <w:rsid w:val="007E641C"/>
    <w:rsid w:val="007F627D"/>
    <w:rsid w:val="008414EA"/>
    <w:rsid w:val="00885359"/>
    <w:rsid w:val="008B7722"/>
    <w:rsid w:val="008D4660"/>
    <w:rsid w:val="008E2D73"/>
    <w:rsid w:val="0090274B"/>
    <w:rsid w:val="00967335"/>
    <w:rsid w:val="009B2B69"/>
    <w:rsid w:val="00A36229"/>
    <w:rsid w:val="00A52567"/>
    <w:rsid w:val="00A601E7"/>
    <w:rsid w:val="00B668EC"/>
    <w:rsid w:val="00B83E7B"/>
    <w:rsid w:val="00B86E7C"/>
    <w:rsid w:val="00BB023C"/>
    <w:rsid w:val="00BB42C8"/>
    <w:rsid w:val="00C02841"/>
    <w:rsid w:val="00C176F7"/>
    <w:rsid w:val="00CD198E"/>
    <w:rsid w:val="00CD38B7"/>
    <w:rsid w:val="00CF3085"/>
    <w:rsid w:val="00D117FF"/>
    <w:rsid w:val="00D57F60"/>
    <w:rsid w:val="00DB2584"/>
    <w:rsid w:val="00E44B99"/>
    <w:rsid w:val="00E90C97"/>
    <w:rsid w:val="00EA5F6A"/>
    <w:rsid w:val="00EB2885"/>
    <w:rsid w:val="00ED6CA1"/>
    <w:rsid w:val="00F14DB6"/>
    <w:rsid w:val="00F753BF"/>
    <w:rsid w:val="00FA7A12"/>
    <w:rsid w:val="2428965E"/>
    <w:rsid w:val="282DB4F9"/>
    <w:rsid w:val="37A2739C"/>
    <w:rsid w:val="3DB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9365"/>
  <w15:chartTrackingRefBased/>
  <w15:docId w15:val="{F27E351B-3A19-4D48-B4E3-D8CB7C67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E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D38B7"/>
    <w:rPr>
      <w:b/>
      <w:bCs/>
    </w:rPr>
  </w:style>
  <w:style w:type="paragraph" w:customStyle="1" w:styleId="paragraph">
    <w:name w:val="paragraph"/>
    <w:basedOn w:val="Normal"/>
    <w:rsid w:val="0018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868F0"/>
  </w:style>
  <w:style w:type="paragraph" w:styleId="Header">
    <w:name w:val="header"/>
    <w:basedOn w:val="Normal"/>
    <w:link w:val="HeaderChar"/>
    <w:uiPriority w:val="99"/>
    <w:unhideWhenUsed/>
    <w:rsid w:val="0061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04"/>
  </w:style>
  <w:style w:type="paragraph" w:styleId="Footer">
    <w:name w:val="footer"/>
    <w:basedOn w:val="Normal"/>
    <w:link w:val="FooterChar"/>
    <w:uiPriority w:val="99"/>
    <w:unhideWhenUsed/>
    <w:rsid w:val="0061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4E56A695F874099E98E76AF847DBE" ma:contentTypeVersion="10" ma:contentTypeDescription="Create a new document." ma:contentTypeScope="" ma:versionID="81932ffa008009232d86d3e7e314b83b">
  <xsd:schema xmlns:xsd="http://www.w3.org/2001/XMLSchema" xmlns:xs="http://www.w3.org/2001/XMLSchema" xmlns:p="http://schemas.microsoft.com/office/2006/metadata/properties" xmlns:ns2="1d71147f-1724-4b66-b225-2e2386ea8eec" xmlns:ns3="7dc52d92-8c62-4089-9864-0a5a60ac1004" targetNamespace="http://schemas.microsoft.com/office/2006/metadata/properties" ma:root="true" ma:fieldsID="0200bd0046ae08fe7cc49fa6afc48daa" ns2:_="" ns3:_="">
    <xsd:import namespace="1d71147f-1724-4b66-b225-2e2386ea8eec"/>
    <xsd:import namespace="7dc52d92-8c62-4089-9864-0a5a60ac1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147f-1724-4b66-b225-2e2386ea8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b455e-c5ba-488c-adf9-caa315da7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52d92-8c62-4089-9864-0a5a60ac10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42e146-4ce7-4729-9853-c201b6ff46dc}" ma:internalName="TaxCatchAll" ma:showField="CatchAllData" ma:web="7dc52d92-8c62-4089-9864-0a5a60ac1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1147f-1724-4b66-b225-2e2386ea8eec">
      <Terms xmlns="http://schemas.microsoft.com/office/infopath/2007/PartnerControls"/>
    </lcf76f155ced4ddcb4097134ff3c332f>
    <TaxCatchAll xmlns="7dc52d92-8c62-4089-9864-0a5a60ac1004" xsi:nil="true"/>
  </documentManagement>
</p:properties>
</file>

<file path=customXml/itemProps1.xml><?xml version="1.0" encoding="utf-8"?>
<ds:datastoreItem xmlns:ds="http://schemas.openxmlformats.org/officeDocument/2006/customXml" ds:itemID="{213C6459-EA47-438C-A18E-9EBB6FB54424}"/>
</file>

<file path=customXml/itemProps2.xml><?xml version="1.0" encoding="utf-8"?>
<ds:datastoreItem xmlns:ds="http://schemas.openxmlformats.org/officeDocument/2006/customXml" ds:itemID="{8577805A-6F1A-42F7-AAC8-E607C8F26373}"/>
</file>

<file path=customXml/itemProps3.xml><?xml version="1.0" encoding="utf-8"?>
<ds:datastoreItem xmlns:ds="http://schemas.openxmlformats.org/officeDocument/2006/customXml" ds:itemID="{801C8358-66F7-46DF-AE79-ACC41E43D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Quinton Birl</dc:creator>
  <cp:keywords/>
  <dc:description/>
  <cp:lastModifiedBy>Olivia Falcone</cp:lastModifiedBy>
  <cp:revision>2</cp:revision>
  <dcterms:created xsi:type="dcterms:W3CDTF">2026-06-17T17:29:00Z</dcterms:created>
  <dcterms:modified xsi:type="dcterms:W3CDTF">2026-06-17T17:29:00Z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0x0101000B34E56A695F874099E98E76AF847DBE</vt:lpwstr>
  </property>
</Properties>
</file>